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Wapnick Pamela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METAGENOMI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5959 HORTON STREET,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Metagenomi Therapeutics, Inc.</w:t>
              </w:r>
            </w:hyperlink>
            <w:r>
              <w:rPr/>
              <w:t xml:space="preserve"> [ </w:t>
            </w:r>
            <w:r>
              <w:rPr>
                <w:rFonts w:ascii="Times;serif" w:hAnsi="Times;serif"/>
                <w:color w:val="0000FF"/>
                <w:sz w:val="24"/>
                <w:shd w:fill="FFFFFF" w:val="clear"/>
              </w:rPr>
              <w:t>MGX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1.1584</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206,580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automatically sold for the purpose of satisfying the Reporting Person's tax withholding obligations upon the vesting of certain restricted stock units granted to the Reporting Person on April 1, 2024 and April 1, 2025, and does not represent a volitional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L. Wein,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5657" TargetMode="External"/><Relationship Id="rId5" Type="http://schemas.openxmlformats.org/officeDocument/2006/relationships/hyperlink" Target="http://www.sec.gov/cgi-bin/browse-edgar?action=getcompany&amp;CIK=0001785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3393</Characters>
  <CharactersWithSpaces>3945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