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Wein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METAGENOMI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5959 HORTON STREET, 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EMERYVILLE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Metagenomi Therapeutics, Inc.</w:t>
              </w:r>
            </w:hyperlink>
            <w:r>
              <w:rPr/>
              <w:t xml:space="preserve"> [ </w:t>
            </w:r>
            <w:r>
              <w:rPr>
                <w:rFonts w:ascii="Times;serif" w:hAnsi="Times;serif"/>
                <w:color w:val="0000FF"/>
                <w:sz w:val="24"/>
                <w:shd w:fill="FFFFFF" w:val="clear"/>
              </w:rPr>
              <w:t>MGX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1.1584</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126,133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of common stock were automatically sold for the purpose of satisfying the Reporting Person's tax withholding obligations upon the vesting of certain restricted stock units granted to the Reporting Person on each of April 1, 2024 and April 1, 2025, and does not represent a volitional trade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Title: General Counsel, Compliance Officer and Corporate Secretary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L. Wein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9713" TargetMode="External"/><Relationship Id="rId5" Type="http://schemas.openxmlformats.org/officeDocument/2006/relationships/hyperlink" Target="http://www.sec.gov/cgi-bin/browse-edgar?action=getcompany&amp;CIK=0001785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629</Words>
  <Characters>3434</Characters>
  <CharactersWithSpaces>3993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