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Metagenomi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001-41949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81-3909017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5959 Horton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Emeryville,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871-4880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MGX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2026, Brian C. Thomas, Ph.D. informed the board of directors (the “Board”) of Metagenomi Therapeutics, Inc. (the “Company”) of his resignation from his position as a member of the Board, effective as of June 9, 2026. Dr. Thomas’ resignation from the Board was not the result of any disagreement with the Company on any matter relating to the Company’s operations, policies or practices. The Company extends its deepest gratitude to Dr. Thomas for his distinguished service to the Board and lasting contributions to the Company.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9, 2026, the Company held its 2026 annual meeting of stockholders (the “Annual Meeting”) in a virtual meeting format via live webcast. Proxies were solicited pursuant to the Company’s definitive proxy statement (the “Proxy Statement”) filed on April 27, 2026 with the Securities and Exchange Commission under Section 14(a) of the Securities Exchange Act of 1934, as amended. As of the close of business on April 13, 2026, the record date for the Annual Meeting, the number of shares of the Company’s common stock, $0.0001 par value per share (“Common Stock”), outstanding and entitled to vote at the Annual Meeting was 37,647,057. The number of shares of Common Stock present by remote communication, or represented by valid proxy at the Annual Meeting was 19,116,207, thus establishing a quorum for the transaction of business at the Annual Meeting. Each share of Common Stock was entitled to one vote with respect to matters submitted to the Company’s stockholders at the Annual Meeting.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the following matters, all of which were described in the Proxy Statement: (i) to elect Juergen Eckhardt, M.D., M.B.A. and Eric Bjerkholt, M.B.A. as Class II Directors, to serve until the Company’s 2029 annual meeting of stockholders, and until their respective successor shall have been duly elected and qualified, or until their earlier death, resignation or removal (“Proposal 1”) and (ii) to ratify the appointment of PricewaterhouseCoopers LLP as the Company’s independent registered public accounting firm for the fiscal year ending December 31, 2026 (“Proposal 2”). The final voting results are set forth below.</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1 - </w:t>
      </w:r>
      <w:r>
        <w:rPr>
          <w:rFonts w:ascii="Times New Roman" w:cs="Times New Roman" w:eastAsia="Times New Roman" w:hAnsi="Times New Roman"/>
          <w:sz w:val="18"/>
          <w:szCs w:val="18"/>
          <w:color w:val="auto"/>
        </w:rPr>
        <w:t>Juergen Eckhardt, M.D., M.B.A. and Eric Bjerkholt, M.B.A. were elected as Class II Directors to serve until the Company’s 2029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and until their respective successor shall have been duly elected and qualified, or until their earlier death, resignation or removal, based on the following votes: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Class II Director Nominee</w:t>
            </w:r>
          </w:p>
        </w:tc>
        <w:tc>
          <w:tcPr>
            <w:tcW w:w="3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3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6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Juergen Eckhardt, M.D., M.B.A.</w:t>
            </w: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7,296,718</w:t>
            </w: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1,436,882</w:t>
            </w:r>
          </w:p>
        </w:tc>
        <w:tc>
          <w:tcPr>
            <w:tcW w:w="260" w:type="dxa"/>
            <w:vAlign w:val="bottom"/>
            <w:shd w:val="clear" w:color="auto" w:fill="CCEEFF"/>
          </w:tcPr>
          <w:p>
            <w:pPr>
              <w:spacing w:after="0"/>
              <w:rPr>
                <w:sz w:val="20"/>
                <w:szCs w:val="20"/>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10,382,607</w:t>
            </w:r>
          </w:p>
        </w:tc>
      </w:tr>
      <w:tr>
        <w:trPr>
          <w:trHeight w:val="234"/>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Bjerkholt, M.B.A.</w:t>
            </w:r>
          </w:p>
        </w:tc>
        <w:tc>
          <w:tcPr>
            <w:tcW w:w="21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8,251,289</w:t>
            </w:r>
          </w:p>
        </w:tc>
        <w:tc>
          <w:tcPr>
            <w:tcW w:w="21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482,311</w:t>
            </w:r>
          </w:p>
        </w:tc>
        <w:tc>
          <w:tcPr>
            <w:tcW w:w="2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10,382,607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-311150</wp:posOffset>
            </wp:positionV>
            <wp:extent cx="21463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630" cy="1143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-311150</wp:posOffset>
            </wp:positionV>
            <wp:extent cx="21463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630" cy="1143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-311150</wp:posOffset>
            </wp:positionV>
            <wp:extent cx="17145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14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 The appointment of PricewaterhouseCoopers LLP as the Company’s independent registered public accounting firm for the fiscal year ending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was ratified, based on the following votes: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540" w:type="dxa"/>
            <w:vAlign w:val="bottom"/>
            <w:tcBorders>
              <w:bottom w:val="single" w:sz="8" w:color="CCEEFF"/>
            </w:tcBorders>
          </w:tcPr>
          <w:p>
            <w:pPr>
              <w:spacing w:after="0"/>
              <w:rPr>
                <w:sz w:val="16"/>
                <w:szCs w:val="16"/>
                <w:color w:val="auto"/>
              </w:rPr>
            </w:pPr>
          </w:p>
        </w:tc>
        <w:tc>
          <w:tcPr>
            <w:tcW w:w="29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4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37"/>
        </w:trPr>
        <w:tc>
          <w:tcPr>
            <w:tcW w:w="382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8"/>
                <w:szCs w:val="18"/>
                <w:color w:val="auto"/>
              </w:rPr>
              <w:t>18,483,295</w:t>
            </w:r>
          </w:p>
        </w:tc>
        <w:tc>
          <w:tcPr>
            <w:tcW w:w="540" w:type="dxa"/>
            <w:vAlign w:val="bottom"/>
            <w:shd w:val="clear" w:color="auto" w:fill="CCEEFF"/>
          </w:tcPr>
          <w:p>
            <w:pPr>
              <w:spacing w:after="0"/>
              <w:rPr>
                <w:sz w:val="20"/>
                <w:szCs w:val="20"/>
                <w:color w:val="auto"/>
              </w:rPr>
            </w:pPr>
          </w:p>
        </w:tc>
        <w:tc>
          <w:tcPr>
            <w:tcW w:w="29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51,847</w:t>
            </w:r>
          </w:p>
        </w:tc>
        <w:tc>
          <w:tcPr>
            <w:tcW w:w="540" w:type="dxa"/>
            <w:vAlign w:val="bottom"/>
            <w:shd w:val="clear" w:color="auto" w:fill="CCEEFF"/>
          </w:tcPr>
          <w:p>
            <w:pPr>
              <w:spacing w:after="0"/>
              <w:rPr>
                <w:sz w:val="20"/>
                <w:szCs w:val="20"/>
                <w:color w:val="auto"/>
              </w:rPr>
            </w:pPr>
          </w:p>
        </w:tc>
        <w:tc>
          <w:tcPr>
            <w:tcW w:w="34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581,065</w:t>
            </w:r>
          </w:p>
        </w:tc>
      </w:tr>
      <w:tr>
        <w:trPr>
          <w:trHeight w:val="1505"/>
        </w:trPr>
        <w:tc>
          <w:tcPr>
            <w:tcW w:w="3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-1130935</wp:posOffset>
            </wp:positionV>
            <wp:extent cx="351155"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1143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-1130935</wp:posOffset>
            </wp:positionV>
            <wp:extent cx="34290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0" cy="1143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Metagenomi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Jian Irish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Jian Irish, Ph.D., M.B.A.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2026-06-10T05:20:32Z</dcterms:created>
  <dcterms:modified xsi:type="dcterms:W3CDTF">2026-06-10T05:20:32Z</dcterms:modified>
</cp:coreProperties>
</file>