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Irish Jian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METAGENOMI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5959 HORTON STREET, 7TH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EMERYVILLE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Metagenomi Therapeutics, Inc.</w:t>
              </w:r>
            </w:hyperlink>
            <w:r>
              <w:rPr/>
              <w:t xml:space="preserve"> [ </w:t>
            </w:r>
            <w:r>
              <w:rPr>
                <w:rFonts w:ascii="Times;serif" w:hAnsi="Times;serif"/>
                <w:color w:val="0000FF"/>
                <w:sz w:val="24"/>
                <w:shd w:fill="FFFFFF" w:val="clear"/>
              </w:rPr>
              <w:t>MGX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1.1584</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375,393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292,714</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292,713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of common stock were automatically sold for the purpose of satisfying the Reporting Person's tax withholding obligations upon the vesting of certain restricted stock units granted to the Reporting Person on April 1, 2024 and April 1, 2025, and does not represent a volitional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held by the Bruce Irish 2023 Irrevocable Trust FBO Jian Irish. The Reporting Person disclaims beneficial ownership of these securities except to the extent of her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held by the Jian Irish 2023 Irrevocable Trust. The Reporting Person disclaims beneficial ownership of these securities except to the extent of her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President and Chief Executive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L. Wein,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5697" TargetMode="External"/><Relationship Id="rId5" Type="http://schemas.openxmlformats.org/officeDocument/2006/relationships/hyperlink" Target="http://www.sec.gov/cgi-bin/browse-edgar?action=getcompany&amp;CIK=00017852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764</Words>
  <Characters>4114</Characters>
  <CharactersWithSpaces>4798</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